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77" w:rsidRDefault="00431C77" w:rsidP="00431C77">
      <w:pPr>
        <w:jc w:val="center"/>
        <w:rPr>
          <w:b/>
          <w:sz w:val="28"/>
          <w:szCs w:val="28"/>
        </w:rPr>
      </w:pPr>
    </w:p>
    <w:p w:rsidR="00431C77" w:rsidRPr="00331F93" w:rsidRDefault="00431C77" w:rsidP="00431C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</w:p>
    <w:p w:rsidR="00431C77" w:rsidRPr="00331F93" w:rsidRDefault="00431C77" w:rsidP="00431C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b/>
          <w:bCs/>
          <w:sz w:val="28"/>
          <w:szCs w:val="28"/>
        </w:rPr>
        <w:t xml:space="preserve">(приобретение и обновление основных средств и оборудования) </w:t>
      </w:r>
      <w:r w:rsidRPr="00331F93">
        <w:rPr>
          <w:rFonts w:ascii="Times New Roman" w:hAnsi="Times New Roman"/>
          <w:b/>
          <w:sz w:val="28"/>
          <w:szCs w:val="28"/>
        </w:rPr>
        <w:t>в Республике Дагестан</w:t>
      </w:r>
    </w:p>
    <w:p w:rsidR="00431C77" w:rsidRDefault="00431C77" w:rsidP="00431C77">
      <w:pPr>
        <w:pStyle w:val="a9"/>
        <w:rPr>
          <w:rFonts w:ascii="Times New Roman" w:hAnsi="Times New Roman"/>
          <w:sz w:val="28"/>
          <w:szCs w:val="28"/>
        </w:rPr>
      </w:pP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hyperlink r:id="rId5" w:history="1">
        <w:r w:rsidRPr="0066570E">
          <w:rPr>
            <w:rStyle w:val="a5"/>
            <w:rFonts w:ascii="Times New Roman" w:hAnsi="Times New Roman"/>
            <w:sz w:val="28"/>
            <w:szCs w:val="28"/>
          </w:rPr>
          <w:t>Порядком</w:t>
        </w:r>
      </w:hyperlink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66570E">
        <w:rPr>
          <w:rFonts w:ascii="Times New Roman" w:hAnsi="Times New Roman"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sz w:val="28"/>
          <w:szCs w:val="28"/>
        </w:rPr>
        <w:t>(приобретение и обновление основных средств и оборудования)</w:t>
      </w:r>
      <w:r w:rsidRPr="0066570E">
        <w:rPr>
          <w:rFonts w:ascii="Times New Roman" w:hAnsi="Times New Roman"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Дагестан от 12 августа 2022 года № 260 (далее - Порядок), Комитет по виноградарству и алкогольному регулированию Республики Дагестан (далее – Комитет)  объявляет проведение в 2023 году отбора получателей субсидии на предоставление указанных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– участники отбора)</w:t>
      </w:r>
    </w:p>
    <w:p w:rsidR="00431C77" w:rsidRDefault="00431C77" w:rsidP="00431C77">
      <w:pPr>
        <w:pStyle w:val="a9"/>
        <w:rPr>
          <w:rFonts w:ascii="Times New Roman" w:hAnsi="Times New Roman"/>
          <w:sz w:val="28"/>
          <w:szCs w:val="28"/>
        </w:rPr>
      </w:pPr>
    </w:p>
    <w:p w:rsidR="00431C77" w:rsidRDefault="00431C77" w:rsidP="00431C77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отбора</w:t>
      </w:r>
    </w:p>
    <w:p w:rsidR="00431C77" w:rsidRDefault="00431C77" w:rsidP="00431C77">
      <w:pPr>
        <w:pStyle w:val="a9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заявок: 10 часов 00 минут (по московскому времени) «21» ноября 2023 г.</w:t>
      </w: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заявок: 17 часов 00 минут (по московскому времени) «30» ноября 2023 г.</w:t>
      </w:r>
    </w:p>
    <w:p w:rsidR="00431C77" w:rsidRDefault="00431C77" w:rsidP="00431C77">
      <w:pPr>
        <w:pStyle w:val="a9"/>
        <w:rPr>
          <w:rFonts w:ascii="Times New Roman" w:hAnsi="Times New Roman"/>
          <w:sz w:val="28"/>
          <w:szCs w:val="28"/>
        </w:rPr>
      </w:pPr>
    </w:p>
    <w:p w:rsidR="00431C77" w:rsidRDefault="00431C77" w:rsidP="00431C7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отбора</w:t>
      </w:r>
    </w:p>
    <w:p w:rsidR="00431C77" w:rsidRDefault="00431C77" w:rsidP="00431C7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431C77" w:rsidRPr="009C0D72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виноградарству и алкогольному регулированию Республики Дагестан, адрес: </w:t>
      </w:r>
      <w:r w:rsidRPr="009C0D72">
        <w:rPr>
          <w:rFonts w:ascii="Times New Roman" w:hAnsi="Times New Roman"/>
          <w:sz w:val="28"/>
          <w:szCs w:val="28"/>
        </w:rPr>
        <w:t xml:space="preserve">367000, г. Махачкала, ул. </w:t>
      </w:r>
      <w:proofErr w:type="spellStart"/>
      <w:r w:rsidRPr="009C0D72">
        <w:rPr>
          <w:rFonts w:ascii="Times New Roman" w:hAnsi="Times New Roman"/>
          <w:sz w:val="28"/>
          <w:szCs w:val="28"/>
        </w:rPr>
        <w:t>Даниялова</w:t>
      </w:r>
      <w:proofErr w:type="spellEnd"/>
      <w:r w:rsidRPr="009C0D72">
        <w:rPr>
          <w:rFonts w:ascii="Times New Roman" w:hAnsi="Times New Roman"/>
          <w:sz w:val="28"/>
          <w:szCs w:val="28"/>
        </w:rPr>
        <w:t>, 23</w:t>
      </w:r>
      <w:r>
        <w:rPr>
          <w:rFonts w:ascii="Times New Roman" w:hAnsi="Times New Roman"/>
          <w:sz w:val="28"/>
          <w:szCs w:val="28"/>
        </w:rPr>
        <w:t>, официальный сайт размещения информации: www.комитетдагвино.рф,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9C0D72">
        <w:rPr>
          <w:rFonts w:ascii="Times New Roman" w:hAnsi="Times New Roman"/>
          <w:sz w:val="28"/>
          <w:szCs w:val="28"/>
        </w:rPr>
        <w:t>dagvino2021@bk.ru</w:t>
      </w:r>
    </w:p>
    <w:p w:rsidR="00431C77" w:rsidRPr="009C0D72" w:rsidRDefault="00431C77" w:rsidP="00431C77">
      <w:pPr>
        <w:pStyle w:val="a9"/>
        <w:rPr>
          <w:rFonts w:ascii="Times New Roman" w:hAnsi="Times New Roman"/>
          <w:sz w:val="28"/>
          <w:szCs w:val="28"/>
        </w:rPr>
      </w:pPr>
    </w:p>
    <w:p w:rsidR="00431C77" w:rsidRDefault="00431C77" w:rsidP="00431C7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результат предоставления субсидий </w:t>
      </w:r>
    </w:p>
    <w:p w:rsidR="00431C77" w:rsidRDefault="00431C77" w:rsidP="00431C7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431C77" w:rsidRPr="00AA3BD3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A3BD3">
        <w:rPr>
          <w:rFonts w:ascii="Times New Roman" w:hAnsi="Times New Roman"/>
          <w:sz w:val="28"/>
          <w:szCs w:val="28"/>
        </w:rPr>
        <w:t>Субсидии предоставляются на стимулирование развития виноградарства и виноделия Республики Дагестан.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3BD3">
        <w:rPr>
          <w:sz w:val="28"/>
          <w:szCs w:val="28"/>
        </w:rPr>
        <w:t>Результатом предоставления субсидии</w:t>
      </w:r>
      <w:r w:rsidRPr="00652B48">
        <w:rPr>
          <w:sz w:val="28"/>
          <w:szCs w:val="28"/>
        </w:rPr>
        <w:t xml:space="preserve"> являются:</w:t>
      </w:r>
    </w:p>
    <w:p w:rsidR="00431C77" w:rsidRPr="004329F0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молодые виноградники возрастом до 4 лет включительно -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сохранение площади виноградников до 31 декабря года вступления их в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период товарного плодоношения (гектаров);</w:t>
      </w:r>
    </w:p>
    <w:p w:rsidR="00431C77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виноградники в плодоносящем возрасте - сохранение площади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плодоносящих виноградников на 31 декабря года предоставления субсидии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(гектаров).</w:t>
      </w: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C77" w:rsidRDefault="00431C77" w:rsidP="00431C7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Сетевой адрес сайта 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«Интернет», на котором осуществляется проведение отбора</w:t>
      </w:r>
    </w:p>
    <w:p w:rsidR="00431C77" w:rsidRDefault="00431C77" w:rsidP="00431C7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431C77" w:rsidRDefault="00431C77" w:rsidP="00431C77">
      <w:pPr>
        <w:pStyle w:val="a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r w:rsidRPr="009C0D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комитетдагвино.рф</w:t>
      </w:r>
      <w:proofErr w:type="spellEnd"/>
      <w:proofErr w:type="gramEnd"/>
    </w:p>
    <w:p w:rsidR="00431C77" w:rsidRDefault="00431C77" w:rsidP="00431C7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31C77" w:rsidRPr="004D061B" w:rsidRDefault="00431C77" w:rsidP="00431C7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4D061B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 </w:t>
      </w:r>
    </w:p>
    <w:p w:rsidR="00431C77" w:rsidRPr="004D061B" w:rsidRDefault="00431C77" w:rsidP="00431C77">
      <w:pPr>
        <w:pStyle w:val="a9"/>
        <w:rPr>
          <w:rFonts w:ascii="Times New Roman" w:hAnsi="Times New Roman"/>
          <w:sz w:val="28"/>
          <w:szCs w:val="28"/>
        </w:rPr>
      </w:pPr>
    </w:p>
    <w:p w:rsidR="00431C77" w:rsidRPr="004D061B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 отбора по состоянию на дату не ранее чем за 30 календарных дней до даты обращения за предоставлением субсидий:</w:t>
      </w:r>
    </w:p>
    <w:p w:rsidR="00431C77" w:rsidRPr="004D061B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1C77" w:rsidRPr="004D061B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 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31C77" w:rsidRPr="004D061B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в) участники отбора 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431C77" w:rsidRPr="004D061B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д)     </w:t>
      </w:r>
      <w:r w:rsidRPr="00F71BA1">
        <w:rPr>
          <w:rFonts w:ascii="Times New Roman" w:hAnsi="Times New Roman"/>
          <w:sz w:val="28"/>
          <w:szCs w:val="28"/>
        </w:rPr>
        <w:t xml:space="preserve">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F71BA1">
        <w:rPr>
          <w:rFonts w:ascii="Times New Roman" w:hAnsi="Times New Roman"/>
          <w:sz w:val="28"/>
          <w:szCs w:val="28"/>
        </w:rPr>
        <w:lastRenderedPageBreak/>
        <w:t xml:space="preserve"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rPr>
          <w:rFonts w:ascii="Times New Roman" w:hAnsi="Times New Roman"/>
          <w:sz w:val="28"/>
          <w:szCs w:val="28"/>
        </w:rPr>
        <w:t>публичных акционерных обществ;</w:t>
      </w:r>
    </w:p>
    <w:p w:rsidR="00431C77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е) участник отбора не должен получать средства из республиканского бюджета Республики Дагестан, на основании иных но</w:t>
      </w:r>
      <w:r>
        <w:rPr>
          <w:rFonts w:ascii="Times New Roman" w:hAnsi="Times New Roman"/>
          <w:sz w:val="28"/>
          <w:szCs w:val="28"/>
        </w:rPr>
        <w:t>рмативных правовых актов на цели, указанные</w:t>
      </w:r>
      <w:r w:rsidRPr="000B6AD4">
        <w:rPr>
          <w:rFonts w:ascii="Times New Roman" w:hAnsi="Times New Roman"/>
          <w:sz w:val="28"/>
          <w:szCs w:val="28"/>
        </w:rPr>
        <w:t xml:space="preserve"> в пункте 2 Порядка;</w:t>
      </w:r>
    </w:p>
    <w:p w:rsidR="00431C77" w:rsidRDefault="00431C77" w:rsidP="00431C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е.1) заявитель </w:t>
      </w:r>
      <w:r w:rsidRPr="005E5901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если такие требования предусмотрены правовым актом)</w:t>
      </w:r>
      <w:r>
        <w:rPr>
          <w:sz w:val="28"/>
          <w:szCs w:val="28"/>
        </w:rPr>
        <w:t>;</w:t>
      </w:r>
    </w:p>
    <w:p w:rsidR="00431C77" w:rsidRPr="000B6AD4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ж) иные требования к участникам отбора:</w:t>
      </w:r>
    </w:p>
    <w:p w:rsidR="00431C77" w:rsidRPr="000B6AD4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осуществление производственной деятельности и постановка на налоговый учет на территории Республики Дагестан;</w:t>
      </w:r>
    </w:p>
    <w:p w:rsidR="00431C77" w:rsidRPr="000B6AD4" w:rsidRDefault="00431C77" w:rsidP="00431C7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представление отчетности о финансово-экономическом состоянии участником отбора, в том числе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</w:r>
    </w:p>
    <w:p w:rsidR="00431C77" w:rsidRPr="000B6AD4" w:rsidRDefault="00431C77" w:rsidP="00431C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Для подтверждения соответствия установленным требованиям и условиям участники отбора представляют следующие документы:</w:t>
      </w:r>
    </w:p>
    <w:p w:rsidR="00431C77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1) </w:t>
      </w:r>
      <w:r w:rsidRPr="0076277E">
        <w:rPr>
          <w:sz w:val="28"/>
          <w:szCs w:val="28"/>
        </w:rPr>
        <w:t xml:space="preserve">заявка (в письменной или электронной </w:t>
      </w:r>
      <w:r>
        <w:rPr>
          <w:sz w:val="28"/>
          <w:szCs w:val="28"/>
        </w:rPr>
        <w:t>форме) о предоставлении субсидии</w:t>
      </w:r>
      <w:r w:rsidRPr="0076277E">
        <w:rPr>
          <w:sz w:val="28"/>
          <w:szCs w:val="28"/>
        </w:rPr>
        <w:t>, которая должна содержать согласие на публикацию (размещение) в информационно-телекоммуникационно</w:t>
      </w:r>
      <w:r>
        <w:rPr>
          <w:sz w:val="28"/>
          <w:szCs w:val="28"/>
        </w:rPr>
        <w:t>й сети "Интернет" информации о заявителе</w:t>
      </w:r>
      <w:r w:rsidRPr="001054F4">
        <w:rPr>
          <w:sz w:val="28"/>
          <w:szCs w:val="28"/>
        </w:rPr>
        <w:t>,</w:t>
      </w:r>
      <w:r w:rsidRPr="0076277E">
        <w:rPr>
          <w:sz w:val="28"/>
          <w:szCs w:val="28"/>
        </w:rPr>
        <w:t xml:space="preserve"> о подаваемом </w:t>
      </w:r>
      <w:r>
        <w:rPr>
          <w:sz w:val="28"/>
          <w:szCs w:val="28"/>
        </w:rPr>
        <w:t>заявителем</w:t>
      </w:r>
      <w:r w:rsidRPr="001054F4">
        <w:rPr>
          <w:sz w:val="28"/>
          <w:szCs w:val="28"/>
        </w:rPr>
        <w:t xml:space="preserve"> </w:t>
      </w:r>
      <w:r w:rsidRPr="0076277E">
        <w:rPr>
          <w:sz w:val="28"/>
          <w:szCs w:val="28"/>
        </w:rPr>
        <w:t xml:space="preserve">предложении (заявке), иной информации </w:t>
      </w:r>
      <w:r>
        <w:rPr>
          <w:sz w:val="28"/>
          <w:szCs w:val="28"/>
        </w:rPr>
        <w:t xml:space="preserve">о </w:t>
      </w:r>
      <w:r w:rsidRPr="001054F4">
        <w:rPr>
          <w:sz w:val="28"/>
          <w:szCs w:val="28"/>
        </w:rPr>
        <w:t>заявител</w:t>
      </w:r>
      <w:r>
        <w:rPr>
          <w:sz w:val="28"/>
          <w:szCs w:val="28"/>
        </w:rPr>
        <w:t>е</w:t>
      </w:r>
      <w:r w:rsidRPr="001054F4">
        <w:rPr>
          <w:sz w:val="28"/>
          <w:szCs w:val="28"/>
        </w:rPr>
        <w:t>,</w:t>
      </w:r>
      <w:r w:rsidRPr="0076277E">
        <w:rPr>
          <w:sz w:val="28"/>
          <w:szCs w:val="28"/>
        </w:rPr>
        <w:t xml:space="preserve"> связанной с соответствующим отбором, а также согласие на обработку персональных </w:t>
      </w:r>
      <w:r>
        <w:rPr>
          <w:sz w:val="28"/>
          <w:szCs w:val="28"/>
        </w:rPr>
        <w:t>данных (для физического лица);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2) копия документа (доверенности), подтверждающего полномочия представителя на осуществление действий от имени заявителя, подписанная заявителем и заверенная печатью (при наличии), в случае подачи заявки представителем заявителя; 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3) справка-расчет причитающейся суммы субсидии с указанием реквизитов для перечисления по форме, утверждаемой правовым актом Комитета и размещенной на официальном сайте Комитета;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4) справки о соответствии заявителя требованиям, установленным подпунктами «б» – «е</w:t>
      </w:r>
      <w:r>
        <w:rPr>
          <w:sz w:val="28"/>
          <w:szCs w:val="28"/>
        </w:rPr>
        <w:t>.1</w:t>
      </w:r>
      <w:r w:rsidRPr="000B6AD4">
        <w:rPr>
          <w:sz w:val="28"/>
          <w:szCs w:val="28"/>
        </w:rPr>
        <w:t>» пункта 9 Порядка, составленные в произвольной форме, подписанные единоличным исполнительным органом заявителя – юридического лица или заявителем – индивидуальным предпринимателем соответственно;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5)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</w:t>
      </w:r>
      <w:r w:rsidRPr="000B6AD4">
        <w:rPr>
          <w:sz w:val="28"/>
          <w:szCs w:val="28"/>
        </w:rPr>
        <w:lastRenderedPageBreak/>
        <w:t>налоговым органом по месту постановки на учет в налоговом органе по состоянию на дату не ранее чем за 30 календарных дней до даты подачи заявки об участии в отборе;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6) копия заключения Министерства промышленности и торговли Российской Федерации об отнесении продукции 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от 20 сентября 2017 г. № 1135 «Об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 (в случае, если оборудование, указанное в заявке, происходит из иностранного государства или группы иностранных государств), заверенная заявителем;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7) копия выписки из Единого государственного реестра юридических лиц или Единого государственного реестра индивидуальных предпринимателей (далее – ЕГРЮЛ/ЕГРИП) по состоянию на дату не ранее чем за 30 календарных дней до даты подачи заявки о предоставлении субсидий, заверенная заявителем;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8) копию выписки из федерального реестра виноградных насаждений по состоянию на дату не ранее чем за 30 календарных дней до даты подачи заявочной документации;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9)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заявителем в налоговый орган по месту учета и имеющего отметку налогового органа о его получении (представляется в случае использования заявителем указанного права), заверенная заявителем;</w:t>
      </w:r>
    </w:p>
    <w:p w:rsidR="00431C77" w:rsidRPr="006054E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10) </w:t>
      </w:r>
      <w:r w:rsidRPr="006054E4">
        <w:rPr>
          <w:sz w:val="28"/>
          <w:szCs w:val="28"/>
        </w:rPr>
        <w:t xml:space="preserve">смета расходов, подтверждающая понесенные затраты получателей субсидии (в случае монтажа основных средств и оборудования, используемого для производства продукции виноградарства и винодельческой продукции), по форме, утверждаемой правовым актом Комитета, и размещенной </w:t>
      </w:r>
      <w:r>
        <w:rPr>
          <w:sz w:val="28"/>
          <w:szCs w:val="28"/>
        </w:rPr>
        <w:t>на официальном сайте Комитета;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11) копия отчета о финансово-экономическом состоянии товаропроизводителей агропромышленного комплекса по форме, утвержденной приказом Министерства сельского хозяйства Российской Федерации (представляется в случае, если заявитель является сельскохозяйственным товаропроизводителем), заверенная заявителем; </w:t>
      </w:r>
    </w:p>
    <w:p w:rsidR="00431C77" w:rsidRPr="000B6AD4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12) копии бухгалтерского баланса и отчета о финансовых результатах по форме, утвержденной приказом Министерства финансов Российской Федерации (представляется в случае, если заявитель не является сельскохозяйственным товаропроизводителем), заверенные заявителем; 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13)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поставки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используемого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для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производства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виноградарства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винодельческой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приложением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копий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оплату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договору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14)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объекта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кроме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зданий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сооружений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lastRenderedPageBreak/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15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поступлении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-14,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накладных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универсальных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передаточных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передачу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16)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-15,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исключением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не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монтажа</w:t>
      </w:r>
      <w:r w:rsidRPr="000B6AD4">
        <w:rPr>
          <w:sz w:val="28"/>
          <w:szCs w:val="28"/>
        </w:rPr>
        <w:t xml:space="preserve">),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17)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выписки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из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электронного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18)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требованиями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действующего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законодательства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подлежащих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19) </w:t>
      </w:r>
      <w:r w:rsidRPr="000B6AD4">
        <w:rPr>
          <w:rFonts w:hint="eastAsia"/>
          <w:sz w:val="28"/>
          <w:szCs w:val="28"/>
        </w:rPr>
        <w:t>при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заявитель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дополнительно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представляет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следующие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документы</w:t>
      </w:r>
      <w:r w:rsidRPr="000B6AD4">
        <w:rPr>
          <w:sz w:val="28"/>
          <w:szCs w:val="28"/>
        </w:rPr>
        <w:t>: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поручения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документа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открытие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аккредитива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proofErr w:type="spellStart"/>
      <w:r w:rsidRPr="000B6AD4">
        <w:rPr>
          <w:rFonts w:hint="eastAsia"/>
          <w:sz w:val="28"/>
          <w:szCs w:val="28"/>
        </w:rPr>
        <w:t>свифтового</w:t>
      </w:r>
      <w:proofErr w:type="spellEnd"/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сообщения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подтверждении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перевода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431C77" w:rsidRPr="000B6AD4" w:rsidRDefault="00431C77" w:rsidP="00431C7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представляется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после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оформления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установленном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порядке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договором</w:t>
      </w:r>
      <w:r w:rsidRPr="000B6AD4">
        <w:rPr>
          <w:sz w:val="28"/>
          <w:szCs w:val="28"/>
        </w:rPr>
        <w:t>).</w:t>
      </w:r>
    </w:p>
    <w:p w:rsidR="00431C77" w:rsidRDefault="00431C77" w:rsidP="00431C77">
      <w:pPr>
        <w:ind w:firstLine="567"/>
        <w:jc w:val="both"/>
        <w:rPr>
          <w:b/>
          <w:sz w:val="28"/>
          <w:szCs w:val="28"/>
        </w:rPr>
      </w:pPr>
    </w:p>
    <w:p w:rsidR="00431C77" w:rsidRDefault="00431C77" w:rsidP="00431C77">
      <w:pPr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6. Порядок подачи участником отбора заявок и требования, предъявляемые к их форме и содержанию</w:t>
      </w:r>
    </w:p>
    <w:p w:rsidR="00431C77" w:rsidRDefault="00431C77" w:rsidP="00431C77">
      <w:pPr>
        <w:ind w:firstLine="567"/>
        <w:jc w:val="center"/>
        <w:rPr>
          <w:b/>
          <w:sz w:val="28"/>
          <w:szCs w:val="28"/>
        </w:rPr>
      </w:pP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участниками отбора заявок на участие в отборе осуществляется: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 w:rsidRPr="00652B48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через многофункциональный центр предоставления государственных и муниципальных услуг (далее – МФЦ), который обеспечивает передачу в Комитет полученных им документов в порядке и сроки, установленные Соглашением о взаимодействии между МФЦ и Комитетом;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Заявка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включает в себя документы, указанные в разделе 5 настоящего объявления.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регистрирует заявку в день ее поступления в Комитет в порядке очередности поступления в специальном журнале регистрации заявок с присвоением номера и с указанием даты поступления, а также выдает заявителю копию его заявки с отметкой о дате ее приема и указанием присвоенного данной заявке номера.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На заверяемом заявителем копии документа проставляется </w:t>
      </w:r>
      <w:proofErr w:type="gramStart"/>
      <w:r w:rsidRPr="00652B48">
        <w:rPr>
          <w:sz w:val="28"/>
          <w:szCs w:val="28"/>
        </w:rPr>
        <w:t>надпись</w:t>
      </w:r>
      <w:proofErr w:type="gramEnd"/>
      <w:r w:rsidRPr="00652B48">
        <w:rPr>
          <w:sz w:val="28"/>
          <w:szCs w:val="28"/>
        </w:rPr>
        <w:t xml:space="preserve"> «Копия верна» с указанием личной подписи, расшифровки подписи и печать (при наличии).</w:t>
      </w:r>
    </w:p>
    <w:p w:rsidR="00431C77" w:rsidRDefault="00431C77" w:rsidP="00431C77">
      <w:pPr>
        <w:widowControl w:val="0"/>
        <w:ind w:firstLine="567"/>
        <w:jc w:val="center"/>
        <w:rPr>
          <w:b/>
          <w:sz w:val="28"/>
          <w:szCs w:val="28"/>
        </w:rPr>
      </w:pPr>
    </w:p>
    <w:p w:rsidR="00431C77" w:rsidRDefault="00431C77" w:rsidP="00431C7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отзыва заявок участников отбора, порядок возврата заявок участников отбора, определяющий, в том числе, основания для возврата заявок, а также порядок внесения изменений в заявки</w:t>
      </w:r>
    </w:p>
    <w:p w:rsidR="00431C77" w:rsidRDefault="00431C77" w:rsidP="00431C77">
      <w:pPr>
        <w:widowControl w:val="0"/>
        <w:ind w:firstLine="567"/>
        <w:jc w:val="center"/>
        <w:rPr>
          <w:sz w:val="28"/>
          <w:szCs w:val="28"/>
        </w:rPr>
      </w:pPr>
    </w:p>
    <w:p w:rsidR="00431C77" w:rsidRDefault="00431C77" w:rsidP="00431C7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отбора вправе отозвать заявку не позднее даты окончания приема заявок. 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заявок осуществляется по письменному заявлению (в произвольной форме) участника отбора, представленному в отдел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Комитета.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получить заявку с прилагаемыми документами в отделе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Комитета.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 w:rsidR="00431C77" w:rsidRPr="005D17E3" w:rsidRDefault="00431C77" w:rsidP="00431C77">
      <w:pPr>
        <w:ind w:firstLine="567"/>
        <w:contextualSpacing/>
        <w:jc w:val="both"/>
        <w:rPr>
          <w:rFonts w:ascii="Calibri" w:hAnsi="Calibri"/>
          <w:sz w:val="22"/>
          <w:szCs w:val="28"/>
        </w:rPr>
      </w:pPr>
    </w:p>
    <w:p w:rsidR="00431C77" w:rsidRDefault="00431C77" w:rsidP="00431C7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Правила рассмотрения и оценки заявок участников отбора</w:t>
      </w:r>
    </w:p>
    <w:p w:rsidR="00431C77" w:rsidRDefault="00431C77" w:rsidP="00431C77">
      <w:pPr>
        <w:ind w:firstLine="567"/>
        <w:contextualSpacing/>
        <w:jc w:val="center"/>
        <w:rPr>
          <w:sz w:val="28"/>
          <w:szCs w:val="28"/>
        </w:rPr>
      </w:pPr>
    </w:p>
    <w:p w:rsidR="00431C77" w:rsidRPr="00652B48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заявителей требованиям, указанным в пункте 9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Федерации, и  принимает решение: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допуске заявки к участию в отборе;</w:t>
      </w:r>
    </w:p>
    <w:p w:rsidR="00431C77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>.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Основанием для отклонения заявки является: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заявителя требованиям, указанным в пункте 9 настоящего Порядка;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представленных заявителем документов требованиям, установленным в объявлении о проведении отбора;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lastRenderedPageBreak/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431C77" w:rsidRPr="00652B48" w:rsidRDefault="00431C77" w:rsidP="00431C7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непредставление (представление не в полном объеме) заявителем документов, предусмотренных пунктом 10 настоящего Порядка, и (или) наличие в таких документах неполных сведений.</w:t>
      </w:r>
    </w:p>
    <w:p w:rsidR="00431C77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соответствующее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Данное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15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рассматривает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документы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>: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пункте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>;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получателем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3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окончания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срока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принимает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одно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из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следующих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решений</w:t>
      </w:r>
      <w:r w:rsidRPr="004F0E3C">
        <w:rPr>
          <w:sz w:val="28"/>
          <w:szCs w:val="28"/>
        </w:rPr>
        <w:t>: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;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Решение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оформляется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нормативным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правовым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актом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Комитета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2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необходимости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заключения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Соглашения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случае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указанием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причин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отказа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Уведомления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направляются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Основаниями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для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являются</w:t>
      </w:r>
      <w:r w:rsidRPr="004F0E3C">
        <w:rPr>
          <w:sz w:val="28"/>
          <w:szCs w:val="28"/>
        </w:rPr>
        <w:t>: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объявлении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проведении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8 </w:t>
      </w:r>
      <w:r w:rsidRPr="004F0E3C">
        <w:rPr>
          <w:rFonts w:hint="eastAsia"/>
          <w:sz w:val="28"/>
          <w:szCs w:val="28"/>
        </w:rPr>
        <w:lastRenderedPageBreak/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431C77" w:rsidRPr="004F0E3C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непредставление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</w:t>
      </w:r>
      <w:r w:rsidRPr="004F0E3C">
        <w:rPr>
          <w:rFonts w:hint="eastAsia"/>
          <w:sz w:val="28"/>
          <w:szCs w:val="28"/>
        </w:rPr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наличие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неполных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сведений</w:t>
      </w:r>
      <w:r w:rsidRPr="004F0E3C">
        <w:rPr>
          <w:sz w:val="28"/>
          <w:szCs w:val="28"/>
        </w:rPr>
        <w:t>;</w:t>
      </w:r>
    </w:p>
    <w:p w:rsidR="00431C77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целях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431C77" w:rsidRDefault="00431C77" w:rsidP="00431C77">
      <w:pPr>
        <w:widowControl w:val="0"/>
        <w:ind w:firstLine="567"/>
        <w:jc w:val="both"/>
        <w:rPr>
          <w:sz w:val="28"/>
          <w:szCs w:val="28"/>
        </w:rPr>
      </w:pPr>
    </w:p>
    <w:p w:rsidR="00431C77" w:rsidRDefault="00431C77" w:rsidP="00431C77">
      <w:pPr>
        <w:widowControl w:val="0"/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31C77" w:rsidRDefault="00431C77" w:rsidP="00431C77">
      <w:pPr>
        <w:widowControl w:val="0"/>
        <w:ind w:firstLine="567"/>
        <w:jc w:val="center"/>
        <w:rPr>
          <w:sz w:val="28"/>
          <w:szCs w:val="28"/>
        </w:rPr>
      </w:pPr>
    </w:p>
    <w:p w:rsidR="00431C77" w:rsidRDefault="00431C77" w:rsidP="00431C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Консультационная работа с участниками отбора, в том числе, дача разъяснений положений объявления о проведении отбора, в период срока приема документов осуществляется специалистами отдела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 в рамках устных консультаций либо по телефону в зависимости от вида обращения, контактные номера: 56-20-34.</w:t>
      </w:r>
    </w:p>
    <w:p w:rsidR="00431C77" w:rsidRDefault="00431C77" w:rsidP="00431C77">
      <w:pPr>
        <w:widowControl w:val="0"/>
        <w:ind w:firstLine="567"/>
        <w:jc w:val="both"/>
        <w:rPr>
          <w:sz w:val="28"/>
          <w:szCs w:val="28"/>
        </w:rPr>
      </w:pPr>
    </w:p>
    <w:p w:rsidR="00431C77" w:rsidRDefault="00431C77" w:rsidP="00431C7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Срок, в течение которого победитель отбора, должен подписать соглашение о предоставлении субсидии</w:t>
      </w:r>
    </w:p>
    <w:p w:rsidR="00431C77" w:rsidRDefault="00431C77" w:rsidP="00431C77">
      <w:pPr>
        <w:widowControl w:val="0"/>
        <w:ind w:firstLine="567"/>
        <w:jc w:val="center"/>
        <w:rPr>
          <w:b/>
          <w:sz w:val="28"/>
          <w:szCs w:val="28"/>
        </w:rPr>
      </w:pPr>
    </w:p>
    <w:p w:rsidR="00431C77" w:rsidRDefault="00431C77" w:rsidP="00431C7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между получателем субсидии и Комитетом в течение 5 рабочих дней со </w:t>
      </w:r>
      <w:r w:rsidRPr="000D27E1">
        <w:rPr>
          <w:sz w:val="28"/>
          <w:szCs w:val="28"/>
        </w:rPr>
        <w:t>дня принятия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</w:p>
    <w:p w:rsidR="00431C77" w:rsidRDefault="00431C77" w:rsidP="00431C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признания участника отбора, победителя отбора, уклонившимся от заключения соглашения</w:t>
      </w:r>
    </w:p>
    <w:p w:rsidR="00431C77" w:rsidRDefault="00431C77" w:rsidP="00431C77">
      <w:pPr>
        <w:ind w:firstLine="567"/>
        <w:jc w:val="both"/>
        <w:rPr>
          <w:sz w:val="28"/>
          <w:szCs w:val="28"/>
        </w:rPr>
      </w:pPr>
    </w:p>
    <w:p w:rsidR="00431C77" w:rsidRDefault="00431C77" w:rsidP="00431C77">
      <w:pPr>
        <w:ind w:firstLine="567"/>
        <w:jc w:val="both"/>
        <w:rPr>
          <w:b/>
          <w:sz w:val="28"/>
          <w:szCs w:val="28"/>
        </w:rPr>
      </w:pPr>
      <w:r w:rsidRPr="00EE5516">
        <w:rPr>
          <w:rFonts w:hint="eastAsia"/>
          <w:sz w:val="28"/>
          <w:szCs w:val="28"/>
        </w:rPr>
        <w:t>Получатели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обеспечившие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подписание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установленный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настоящем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пункте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срок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считаются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уклонившимися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заключения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утрачивают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право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. </w:t>
      </w: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течение</w:t>
      </w:r>
      <w:r w:rsidRPr="00EE5516">
        <w:rPr>
          <w:sz w:val="28"/>
          <w:szCs w:val="28"/>
        </w:rPr>
        <w:t xml:space="preserve"> 10 </w:t>
      </w:r>
      <w:r w:rsidRPr="00EE5516">
        <w:rPr>
          <w:rFonts w:hint="eastAsia"/>
          <w:sz w:val="28"/>
          <w:szCs w:val="28"/>
        </w:rPr>
        <w:t>рабочих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своим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приказом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отменяет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ранее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принятое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направляет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заявителю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соответствующее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уведомление</w:t>
      </w:r>
      <w:r w:rsidRPr="00EE5516">
        <w:rPr>
          <w:sz w:val="28"/>
          <w:szCs w:val="28"/>
        </w:rPr>
        <w:t>.</w:t>
      </w:r>
    </w:p>
    <w:p w:rsidR="00431C77" w:rsidRDefault="00431C77" w:rsidP="00431C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Дата размещения результатов отбора</w:t>
      </w:r>
    </w:p>
    <w:p w:rsidR="00431C77" w:rsidRDefault="00431C77" w:rsidP="00431C77">
      <w:pPr>
        <w:ind w:firstLine="567"/>
        <w:jc w:val="both"/>
        <w:rPr>
          <w:b/>
          <w:sz w:val="28"/>
          <w:szCs w:val="28"/>
        </w:rPr>
      </w:pPr>
    </w:p>
    <w:p w:rsidR="00431C77" w:rsidRPr="00EE5516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позднее</w:t>
      </w:r>
      <w:r w:rsidRPr="00EE5516">
        <w:rPr>
          <w:sz w:val="28"/>
          <w:szCs w:val="28"/>
        </w:rPr>
        <w:t xml:space="preserve"> 14-</w:t>
      </w:r>
      <w:r w:rsidRPr="00EE5516">
        <w:rPr>
          <w:rFonts w:hint="eastAsia"/>
          <w:sz w:val="28"/>
          <w:szCs w:val="28"/>
        </w:rPr>
        <w:t>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календарного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следующего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определения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победителей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обеспечивает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размещение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едином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портале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бюджетной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системы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Российской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Федерации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также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официальном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сайте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Комитета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информационно</w:t>
      </w:r>
      <w:r w:rsidRPr="00EE5516">
        <w:rPr>
          <w:sz w:val="28"/>
          <w:szCs w:val="28"/>
        </w:rPr>
        <w:t>-</w:t>
      </w:r>
      <w:r w:rsidRPr="00EE5516">
        <w:rPr>
          <w:rFonts w:hint="eastAsia"/>
          <w:sz w:val="28"/>
          <w:szCs w:val="28"/>
        </w:rPr>
        <w:t>телекоммуникационной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сети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«Интернет»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результатах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включающей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следующие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сведения</w:t>
      </w:r>
      <w:r w:rsidRPr="00EE5516">
        <w:rPr>
          <w:sz w:val="28"/>
          <w:szCs w:val="28"/>
        </w:rPr>
        <w:t>:</w:t>
      </w:r>
    </w:p>
    <w:p w:rsidR="00431C77" w:rsidRPr="00EE5516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дате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времени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месте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>;</w:t>
      </w:r>
    </w:p>
    <w:p w:rsidR="00431C77" w:rsidRPr="00EE5516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рассмотрены</w:t>
      </w:r>
      <w:r w:rsidRPr="00EE5516">
        <w:rPr>
          <w:sz w:val="28"/>
          <w:szCs w:val="28"/>
        </w:rPr>
        <w:t>;</w:t>
      </w:r>
    </w:p>
    <w:p w:rsidR="00431C77" w:rsidRPr="00EE5516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lastRenderedPageBreak/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отклонены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указанием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причин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отклонения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числе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положений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объявления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>;</w:t>
      </w:r>
    </w:p>
    <w:p w:rsidR="00431C77" w:rsidRPr="00EE5516" w:rsidRDefault="00431C77" w:rsidP="00431C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наименование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получателя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получателей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>(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заключается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размер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предоставляемой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ему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им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>.</w:t>
      </w:r>
    </w:p>
    <w:p w:rsidR="00431C77" w:rsidRPr="00652B48" w:rsidRDefault="00431C77" w:rsidP="00431C77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31C77" w:rsidRDefault="00431C77" w:rsidP="00431C77">
      <w:pPr>
        <w:tabs>
          <w:tab w:val="left" w:pos="4155"/>
        </w:tabs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C77" w:rsidRPr="004751E3" w:rsidRDefault="00431C77" w:rsidP="00431C77">
      <w:pPr>
        <w:ind w:left="6372" w:firstLine="708"/>
        <w:jc w:val="right"/>
        <w:rPr>
          <w:sz w:val="14"/>
          <w:szCs w:val="14"/>
        </w:rPr>
      </w:pPr>
    </w:p>
    <w:p w:rsidR="009B60F6" w:rsidRDefault="009B60F6">
      <w:bookmarkStart w:id="0" w:name="_GoBack"/>
      <w:bookmarkEnd w:id="0"/>
    </w:p>
    <w:sectPr w:rsidR="009B60F6" w:rsidSect="005A7FA1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0D"/>
    <w:multiLevelType w:val="hybridMultilevel"/>
    <w:tmpl w:val="DA3CB37A"/>
    <w:lvl w:ilvl="0" w:tplc="0A420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562D3"/>
    <w:multiLevelType w:val="hybridMultilevel"/>
    <w:tmpl w:val="39C0E96E"/>
    <w:lvl w:ilvl="0" w:tplc="FBA20F9C">
      <w:start w:val="1"/>
      <w:numFmt w:val="decimal"/>
      <w:lvlText w:val="%1."/>
      <w:lvlJc w:val="left"/>
      <w:pPr>
        <w:ind w:left="1354" w:hanging="360"/>
      </w:p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6AC5BE1"/>
    <w:multiLevelType w:val="hybridMultilevel"/>
    <w:tmpl w:val="957071E0"/>
    <w:lvl w:ilvl="0" w:tplc="F7E0F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025"/>
    <w:multiLevelType w:val="hybridMultilevel"/>
    <w:tmpl w:val="BA40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C23BE"/>
    <w:multiLevelType w:val="hybridMultilevel"/>
    <w:tmpl w:val="093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15528"/>
    <w:multiLevelType w:val="hybridMultilevel"/>
    <w:tmpl w:val="6E6A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77"/>
    <w:rsid w:val="00431C77"/>
    <w:rsid w:val="009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4A9C-13C4-4E11-AC10-67F4EB5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431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431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31C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431C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1C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43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431C77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431C77"/>
    <w:pPr>
      <w:spacing w:after="0" w:line="240" w:lineRule="auto"/>
    </w:pPr>
    <w:rPr>
      <w:rFonts w:ascii="Calibri" w:eastAsia="Calibri" w:hAnsi="Calibri"/>
    </w:rPr>
  </w:style>
  <w:style w:type="paragraph" w:customStyle="1" w:styleId="FORMATTEXT">
    <w:name w:val=".FORMATTEXT"/>
    <w:uiPriority w:val="99"/>
    <w:qFormat/>
    <w:rsid w:val="00431C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31C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C77"/>
    <w:pPr>
      <w:widowControl w:val="0"/>
      <w:shd w:val="clear" w:color="auto" w:fill="FFFFFF"/>
      <w:spacing w:before="36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 Знак"/>
    <w:rsid w:val="00431C77"/>
  </w:style>
  <w:style w:type="paragraph" w:customStyle="1" w:styleId="ConsPlusCell">
    <w:name w:val="ConsPlusCell"/>
    <w:rsid w:val="0043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1C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1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C666EC03F54D93201D38068BE810163A&amp;req=doc&amp;base=RLAW346&amp;n=38256&amp;dst=100013&amp;fld=134&amp;date=07.12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Шериф</dc:creator>
  <cp:keywords/>
  <dc:description/>
  <cp:lastModifiedBy>Шериф</cp:lastModifiedBy>
  <cp:revision>1</cp:revision>
  <dcterms:created xsi:type="dcterms:W3CDTF">2023-11-21T12:11:00Z</dcterms:created>
  <dcterms:modified xsi:type="dcterms:W3CDTF">2023-11-21T12:12:00Z</dcterms:modified>
</cp:coreProperties>
</file>